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0B19D" w14:textId="53051829" w:rsidR="00071764" w:rsidRPr="00071764" w:rsidRDefault="00071764" w:rsidP="00071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t-EE"/>
        </w:rPr>
      </w:pPr>
      <w:r w:rsidRPr="00071764">
        <w:rPr>
          <w:rFonts w:ascii="Times New Roman" w:eastAsia="Times New Roman" w:hAnsi="Times New Roman" w:cs="Times New Roman"/>
          <w:b/>
          <w:bCs/>
          <w:sz w:val="28"/>
          <w:szCs w:val="28"/>
          <w:lang w:eastAsia="et-EE"/>
        </w:rPr>
        <w:t xml:space="preserve">Soovitused </w:t>
      </w:r>
      <w:proofErr w:type="spellStart"/>
      <w:r w:rsidRPr="00071764">
        <w:rPr>
          <w:rFonts w:ascii="Times New Roman" w:eastAsia="Times New Roman" w:hAnsi="Times New Roman" w:cs="Times New Roman"/>
          <w:b/>
          <w:bCs/>
          <w:sz w:val="28"/>
          <w:szCs w:val="28"/>
          <w:lang w:eastAsia="et-EE"/>
        </w:rPr>
        <w:t>Oseltamiviiri</w:t>
      </w:r>
      <w:proofErr w:type="spellEnd"/>
      <w:r w:rsidRPr="00071764">
        <w:rPr>
          <w:rFonts w:ascii="Times New Roman" w:eastAsia="Times New Roman" w:hAnsi="Times New Roman" w:cs="Times New Roman"/>
          <w:b/>
          <w:bCs/>
          <w:sz w:val="28"/>
          <w:szCs w:val="28"/>
          <w:lang w:eastAsia="et-EE"/>
        </w:rPr>
        <w:t xml:space="preserve"> ehk </w:t>
      </w:r>
      <w:proofErr w:type="spellStart"/>
      <w:r w:rsidRPr="00071764">
        <w:rPr>
          <w:rFonts w:ascii="Times New Roman" w:eastAsia="Times New Roman" w:hAnsi="Times New Roman" w:cs="Times New Roman"/>
          <w:b/>
          <w:bCs/>
          <w:sz w:val="28"/>
          <w:szCs w:val="28"/>
          <w:lang w:eastAsia="et-EE"/>
        </w:rPr>
        <w:t>Tamiflu</w:t>
      </w:r>
      <w:proofErr w:type="spellEnd"/>
      <w:r w:rsidRPr="00071764">
        <w:rPr>
          <w:rFonts w:ascii="Times New Roman" w:eastAsia="Times New Roman" w:hAnsi="Times New Roman" w:cs="Times New Roman"/>
          <w:b/>
          <w:bCs/>
          <w:sz w:val="28"/>
          <w:szCs w:val="28"/>
          <w:lang w:eastAsia="et-EE"/>
        </w:rPr>
        <w:t xml:space="preserve">  kasutamise kohta:</w:t>
      </w:r>
    </w:p>
    <w:p w14:paraId="04DA9740" w14:textId="5E57D8EE" w:rsidR="00071764" w:rsidRPr="00071764" w:rsidRDefault="00071764" w:rsidP="00071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071764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Ravi:</w:t>
      </w:r>
    </w:p>
    <w:p w14:paraId="4192198B" w14:textId="77777777" w:rsidR="008A6B91" w:rsidRDefault="00071764" w:rsidP="008A6B9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071764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Raske või progresseeruv gripp:</w:t>
      </w:r>
      <w:r w:rsidRPr="0007176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14:paraId="3869854A" w14:textId="29912DAD" w:rsidR="00071764" w:rsidRPr="008A6B91" w:rsidRDefault="00071764" w:rsidP="008A6B91">
      <w:pPr>
        <w:pStyle w:val="Loendilik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A6B91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Alustada </w:t>
      </w:r>
      <w:proofErr w:type="spellStart"/>
      <w:r w:rsidRPr="008A6B91">
        <w:rPr>
          <w:rFonts w:ascii="Times New Roman" w:eastAsia="Times New Roman" w:hAnsi="Times New Roman" w:cs="Times New Roman"/>
          <w:sz w:val="24"/>
          <w:szCs w:val="24"/>
          <w:lang w:eastAsia="et-EE"/>
        </w:rPr>
        <w:t>oseltamiviiri</w:t>
      </w:r>
      <w:proofErr w:type="spellEnd"/>
      <w:r w:rsidRPr="008A6B91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ravi hospitaliseeritud patsientidel, ideaalis 48 tunni jooksul, kuid kuni 5 päeva pärast sümptomite ilmnemist. </w:t>
      </w:r>
    </w:p>
    <w:p w14:paraId="0EEC7345" w14:textId="3E4A6C13" w:rsidR="00071764" w:rsidRDefault="00071764" w:rsidP="00071764">
      <w:pPr>
        <w:pStyle w:val="Loendilik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071764">
        <w:rPr>
          <w:rFonts w:ascii="Times New Roman" w:eastAsia="Times New Roman" w:hAnsi="Times New Roman" w:cs="Times New Roman"/>
          <w:sz w:val="24"/>
          <w:szCs w:val="24"/>
          <w:lang w:eastAsia="et-EE"/>
        </w:rPr>
        <w:t>Iga päeva hilinemine vähendab efektiivsust ligikaudu 23%</w:t>
      </w:r>
    </w:p>
    <w:p w14:paraId="4820E29A" w14:textId="77777777" w:rsidR="002D5255" w:rsidRPr="00071764" w:rsidRDefault="002D5255" w:rsidP="002D5255">
      <w:pPr>
        <w:pStyle w:val="Loendilik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54FD32F4" w14:textId="18FD4290" w:rsidR="002D5255" w:rsidRDefault="00071764" w:rsidP="002D5255">
      <w:pPr>
        <w:numPr>
          <w:ilvl w:val="0"/>
          <w:numId w:val="6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071764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Varajane alustamine ja laborikinnit</w:t>
      </w:r>
      <w:r w:rsidR="002D525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us</w:t>
      </w:r>
      <w:r w:rsidRPr="00071764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:</w:t>
      </w:r>
      <w:r w:rsidRPr="0007176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14:paraId="151AB393" w14:textId="77777777" w:rsidR="002D5255" w:rsidRPr="002D5255" w:rsidRDefault="002D5255" w:rsidP="002D5255">
      <w:pPr>
        <w:pStyle w:val="Loendilik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D5255">
        <w:rPr>
          <w:rFonts w:ascii="Times New Roman" w:hAnsi="Times New Roman" w:cs="Times New Roman"/>
          <w:sz w:val="24"/>
          <w:szCs w:val="24"/>
        </w:rPr>
        <w:t>Ravi tuleb alustada enne laborikinnitust kahtlustatavatel rasketel juhtudel (sh raskete kaasuvate haiguste korral), et suurendada kliinilist kasu.</w:t>
      </w:r>
    </w:p>
    <w:p w14:paraId="0EB44C76" w14:textId="77777777" w:rsidR="002D5255" w:rsidRPr="002D5255" w:rsidRDefault="002D5255" w:rsidP="002D5255">
      <w:pPr>
        <w:pStyle w:val="Loendilik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D5255">
        <w:rPr>
          <w:rFonts w:ascii="Times New Roman" w:hAnsi="Times New Roman" w:cs="Times New Roman"/>
          <w:sz w:val="24"/>
          <w:szCs w:val="24"/>
        </w:rPr>
        <w:t>Optimaalne aeg ravi alustamiseks on 48 tunni jooksul pärast sümptomite ilmnemist.</w:t>
      </w:r>
    </w:p>
    <w:p w14:paraId="202F5FAA" w14:textId="6353E5D4" w:rsidR="002D5255" w:rsidRPr="002D5255" w:rsidRDefault="002D5255" w:rsidP="002D5255">
      <w:pPr>
        <w:pStyle w:val="Loendilik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D5255">
        <w:rPr>
          <w:rFonts w:ascii="Times New Roman" w:hAnsi="Times New Roman" w:cs="Times New Roman"/>
          <w:sz w:val="24"/>
          <w:szCs w:val="24"/>
        </w:rPr>
        <w:t>Gripikahtluse korral kasutada võimalusel RT-PCR-i diagnoosi kinnitamiseks</w:t>
      </w:r>
      <w:r w:rsidR="005020A5">
        <w:rPr>
          <w:rFonts w:ascii="Times New Roman" w:hAnsi="Times New Roman" w:cs="Times New Roman"/>
          <w:sz w:val="24"/>
          <w:szCs w:val="24"/>
        </w:rPr>
        <w:t>.</w:t>
      </w:r>
    </w:p>
    <w:p w14:paraId="0F1414D4" w14:textId="764069FF" w:rsidR="002D5255" w:rsidRPr="002D5255" w:rsidRDefault="002D5255" w:rsidP="002D5255">
      <w:pPr>
        <w:pStyle w:val="Loendilik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D5255">
        <w:rPr>
          <w:rFonts w:ascii="Times New Roman" w:hAnsi="Times New Roman" w:cs="Times New Roman"/>
          <w:b/>
          <w:bCs/>
          <w:sz w:val="24"/>
          <w:szCs w:val="24"/>
        </w:rPr>
        <w:t>Laborikinnituse ootamine ei tohi viivitada ravi alustamist raskelt haigetel patsientidel.</w:t>
      </w:r>
    </w:p>
    <w:p w14:paraId="106FB78D" w14:textId="77777777" w:rsidR="002D5255" w:rsidRDefault="002D5255" w:rsidP="002D5255">
      <w:pPr>
        <w:pStyle w:val="Normaallaadveeb"/>
      </w:pPr>
      <w:r>
        <w:rPr>
          <w:rStyle w:val="Tugev"/>
        </w:rPr>
        <w:t>Profülaktika:</w:t>
      </w:r>
    </w:p>
    <w:p w14:paraId="3D061CD5" w14:textId="77777777" w:rsidR="002D5255" w:rsidRDefault="002D5255" w:rsidP="002D5255">
      <w:pPr>
        <w:pStyle w:val="Normaallaadveeb"/>
        <w:numPr>
          <w:ilvl w:val="0"/>
          <w:numId w:val="11"/>
        </w:numPr>
      </w:pPr>
      <w:r>
        <w:rPr>
          <w:rStyle w:val="Tugev"/>
        </w:rPr>
        <w:t>Haavatavad riskirühmad:</w:t>
      </w:r>
      <w:r>
        <w:t xml:space="preserve"> </w:t>
      </w:r>
    </w:p>
    <w:p w14:paraId="46CC2B84" w14:textId="5ED73881" w:rsidR="002D5255" w:rsidRDefault="002D5255" w:rsidP="002D5255">
      <w:pPr>
        <w:pStyle w:val="Normaallaadveeb"/>
        <w:numPr>
          <w:ilvl w:val="0"/>
          <w:numId w:val="11"/>
        </w:numPr>
        <w:rPr>
          <w:rStyle w:val="Tugev"/>
          <w:b w:val="0"/>
          <w:bCs w:val="0"/>
        </w:rPr>
      </w:pPr>
      <w:r>
        <w:t>kaaluda profülaktikat kõrge riskiga rühmadele, eriti neile, kelle immuunsüsteem on nõrgenenud ja kelle puhul vaktsiin ei pruugi toimida ootuspäraselt.</w:t>
      </w:r>
    </w:p>
    <w:p w14:paraId="24C8E078" w14:textId="77777777" w:rsidR="002D5255" w:rsidRDefault="00071764" w:rsidP="005020A5">
      <w:pPr>
        <w:pStyle w:val="Normaallaadveeb"/>
      </w:pPr>
      <w:r w:rsidRPr="002D5255">
        <w:rPr>
          <w:b/>
          <w:bCs/>
        </w:rPr>
        <w:t>Profülaktika efektiivsus:</w:t>
      </w:r>
      <w:r w:rsidRPr="002D5255">
        <w:t xml:space="preserve"> </w:t>
      </w:r>
    </w:p>
    <w:p w14:paraId="7F0A9200" w14:textId="0363BFFC" w:rsidR="00071764" w:rsidRPr="002D5255" w:rsidRDefault="00071764" w:rsidP="005020A5">
      <w:pPr>
        <w:pStyle w:val="Normaallaadveeb"/>
      </w:pPr>
      <w:r w:rsidRPr="002D5255">
        <w:t>Arvestada, et profülaktiline kasutamine on märkimisväärselt efektiivsem kui ravi - näidates suuremat absoluutset riski vähenemist laboratoorselt kinnitatud gripi tekkeks</w:t>
      </w:r>
      <w:r w:rsidR="002D5255">
        <w:t>. Tõenduspõhised andmed toetavad kasutamist hooajalise ja pandeemilise gripi vastase kaitse eesmärgil. Absoluutne riskivähenemine on vahemikus 3,05% kuni 13,6%.</w:t>
      </w:r>
    </w:p>
    <w:p w14:paraId="577CC34B" w14:textId="7EDC3CA9" w:rsidR="00071764" w:rsidRPr="00071764" w:rsidRDefault="00071764" w:rsidP="000717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071764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Oluline märkus:</w:t>
      </w:r>
      <w:r w:rsidRPr="0007176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14:paraId="685CEF82" w14:textId="49581EBB" w:rsidR="00071764" w:rsidRDefault="00071764" w:rsidP="000717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07176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Ekspertide konsensus toetab </w:t>
      </w:r>
      <w:proofErr w:type="spellStart"/>
      <w:r w:rsidRPr="00071764">
        <w:rPr>
          <w:rFonts w:ascii="Times New Roman" w:eastAsia="Times New Roman" w:hAnsi="Times New Roman" w:cs="Times New Roman"/>
          <w:sz w:val="24"/>
          <w:szCs w:val="24"/>
          <w:lang w:eastAsia="et-EE"/>
        </w:rPr>
        <w:t>oseltamiviiri</w:t>
      </w:r>
      <w:proofErr w:type="spellEnd"/>
      <w:r w:rsidRPr="0007176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kasutamist rahvatervise meetmena hoolimata mõõdukast efektiivsusest, eriti raske haiguse ja pandeemiaks valmisoleku korral. Kuigi olemasolevad tõendused praeguste </w:t>
      </w:r>
      <w:proofErr w:type="spellStart"/>
      <w:r w:rsidRPr="00071764">
        <w:rPr>
          <w:rFonts w:ascii="Times New Roman" w:eastAsia="Times New Roman" w:hAnsi="Times New Roman" w:cs="Times New Roman"/>
          <w:sz w:val="24"/>
          <w:szCs w:val="24"/>
          <w:lang w:eastAsia="et-EE"/>
        </w:rPr>
        <w:t>neuraminidaasi</w:t>
      </w:r>
      <w:proofErr w:type="spellEnd"/>
      <w:r w:rsidRPr="0007176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inhibiitorite kohta on ulatuselt piiratud ja efektiivsuse hinnangud on mõõdukad, on see piisav, et õigustada nende ravimite kasutamist, haiguse sümptomite kestuse lühendamiseks ja ka raskete tulemuste progresseerumise ärahoidmiseks.</w:t>
      </w:r>
    </w:p>
    <w:p w14:paraId="761BA544" w14:textId="77777777" w:rsidR="002D5255" w:rsidRDefault="002D5255" w:rsidP="000717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549FBC2E" w14:textId="3E8E59E6" w:rsidR="002D5255" w:rsidRPr="00071764" w:rsidRDefault="002D5255" w:rsidP="000717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t-EE"/>
        </w:rPr>
      </w:pPr>
      <w:r w:rsidRPr="002D5255">
        <w:rPr>
          <w:rFonts w:ascii="Times New Roman" w:eastAsia="Times New Roman" w:hAnsi="Times New Roman" w:cs="Times New Roman"/>
          <w:b/>
          <w:bCs/>
          <w:sz w:val="28"/>
          <w:szCs w:val="28"/>
          <w:lang w:eastAsia="et-EE"/>
        </w:rPr>
        <w:t xml:space="preserve">Andmed efektiivsuse kohta </w:t>
      </w:r>
    </w:p>
    <w:p w14:paraId="505D3135" w14:textId="77777777" w:rsidR="00071764" w:rsidRDefault="00071764" w:rsidP="00071764">
      <w:pPr>
        <w:spacing w:after="0" w:line="240" w:lineRule="auto"/>
      </w:pPr>
    </w:p>
    <w:p w14:paraId="26DD7C71" w14:textId="7BF04A0D" w:rsidR="00071764" w:rsidRPr="005020A5" w:rsidRDefault="00071764" w:rsidP="005020A5">
      <w:pPr>
        <w:pStyle w:val="Loendilik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020A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Ravi:</w:t>
      </w:r>
    </w:p>
    <w:p w14:paraId="46DF722E" w14:textId="77777777" w:rsidR="008A6B91" w:rsidRDefault="00071764" w:rsidP="008A6B91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07176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Täiskasvanud (18-65 aastat): </w:t>
      </w:r>
    </w:p>
    <w:p w14:paraId="33F3C8F2" w14:textId="77777777" w:rsidR="008A6B91" w:rsidRDefault="00071764" w:rsidP="008A6B9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proofErr w:type="spellStart"/>
      <w:r w:rsidRPr="00071764">
        <w:rPr>
          <w:rFonts w:ascii="Times New Roman" w:eastAsia="Times New Roman" w:hAnsi="Times New Roman" w:cs="Times New Roman"/>
          <w:sz w:val="24"/>
          <w:szCs w:val="24"/>
          <w:lang w:eastAsia="et-EE"/>
        </w:rPr>
        <w:t>Oseltamiviir</w:t>
      </w:r>
      <w:proofErr w:type="spellEnd"/>
      <w:r w:rsidRPr="0007176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lühendab gripilaadse haiguse sümptomite kestust 16,8-17,8 tundi (95% CI 8,4-25,1 ja 95% CI -27,1 kuni -9,3) </w:t>
      </w:r>
      <w:r w:rsidR="008A6B91" w:rsidRPr="00071764">
        <w:rPr>
          <w:rFonts w:ascii="Times New Roman" w:eastAsia="Times New Roman" w:hAnsi="Times New Roman" w:cs="Times New Roman"/>
          <w:sz w:val="24"/>
          <w:szCs w:val="24"/>
          <w:lang w:eastAsia="et-EE"/>
        </w:rPr>
        <w:t>ITT</w:t>
      </w:r>
      <w:r w:rsidR="008A6B91" w:rsidRPr="008A6B91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populatsioonis ( ITT  </w:t>
      </w:r>
      <w:proofErr w:type="spellStart"/>
      <w:r w:rsidR="008A6B91" w:rsidRPr="008A6B91">
        <w:rPr>
          <w:rFonts w:ascii="Times New Roman" w:eastAsia="Times New Roman" w:hAnsi="Times New Roman" w:cs="Times New Roman"/>
          <w:sz w:val="24"/>
          <w:szCs w:val="24"/>
          <w:lang w:eastAsia="et-EE"/>
        </w:rPr>
        <w:t>Intention</w:t>
      </w:r>
      <w:proofErr w:type="spellEnd"/>
      <w:r w:rsidR="008A6B91" w:rsidRPr="008A6B91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="008A6B91" w:rsidRPr="008A6B91">
        <w:rPr>
          <w:rFonts w:ascii="Times New Roman" w:eastAsia="Times New Roman" w:hAnsi="Times New Roman" w:cs="Times New Roman"/>
          <w:sz w:val="24"/>
          <w:szCs w:val="24"/>
          <w:lang w:eastAsia="et-EE"/>
        </w:rPr>
        <w:t>To</w:t>
      </w:r>
      <w:proofErr w:type="spellEnd"/>
      <w:r w:rsidR="008A6B91" w:rsidRPr="008A6B91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="008A6B91" w:rsidRPr="008A6B91">
        <w:rPr>
          <w:rFonts w:ascii="Times New Roman" w:eastAsia="Times New Roman" w:hAnsi="Times New Roman" w:cs="Times New Roman"/>
          <w:sz w:val="24"/>
          <w:szCs w:val="24"/>
          <w:lang w:eastAsia="et-EE"/>
        </w:rPr>
        <w:t>Treat</w:t>
      </w:r>
      <w:proofErr w:type="spellEnd"/>
      <w:r w:rsidR="008A6B91" w:rsidRPr="008A6B91">
        <w:rPr>
          <w:rFonts w:ascii="Times New Roman" w:eastAsia="Times New Roman" w:hAnsi="Times New Roman" w:cs="Times New Roman"/>
          <w:sz w:val="24"/>
          <w:szCs w:val="24"/>
          <w:lang w:eastAsia="et-EE"/>
        </w:rPr>
        <w:t>" = "kavatsus ravida" populatsioon)</w:t>
      </w:r>
    </w:p>
    <w:p w14:paraId="679140A5" w14:textId="40C07FCE" w:rsidR="00071764" w:rsidRPr="008A6B91" w:rsidRDefault="00071764" w:rsidP="008A6B9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071764">
        <w:rPr>
          <w:rFonts w:ascii="Times New Roman" w:eastAsia="Times New Roman" w:hAnsi="Times New Roman" w:cs="Times New Roman"/>
          <w:sz w:val="24"/>
          <w:szCs w:val="24"/>
          <w:lang w:eastAsia="et-EE"/>
        </w:rPr>
        <w:t>Laboratoorselt kinnitatud gripi korral täiskasvanutel: sümptomite kestus lüheneb 25,2 tundi (95% CI 16,0-36,2)</w:t>
      </w:r>
    </w:p>
    <w:p w14:paraId="0D6432F6" w14:textId="77777777" w:rsidR="008A6B91" w:rsidRPr="00071764" w:rsidRDefault="008A6B91" w:rsidP="008A6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0928A14D" w14:textId="77777777" w:rsidR="008A6B91" w:rsidRDefault="00071764" w:rsidP="008A6B91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071764">
        <w:rPr>
          <w:rFonts w:ascii="Times New Roman" w:eastAsia="Times New Roman" w:hAnsi="Times New Roman" w:cs="Times New Roman"/>
          <w:sz w:val="24"/>
          <w:szCs w:val="24"/>
          <w:lang w:eastAsia="et-EE"/>
        </w:rPr>
        <w:lastRenderedPageBreak/>
        <w:t>Lapsed:</w:t>
      </w:r>
    </w:p>
    <w:p w14:paraId="7F23A67D" w14:textId="0AC6F1E1" w:rsidR="008A6B91" w:rsidRDefault="00071764" w:rsidP="0023081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07176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Sümptomite kestus väheneb 29 tundi (95% CI 12-47) varem tervetel lastel ITT populatsioonis. </w:t>
      </w:r>
    </w:p>
    <w:p w14:paraId="407EA981" w14:textId="77777777" w:rsidR="005020A5" w:rsidRDefault="005020A5" w:rsidP="005020A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071764">
        <w:rPr>
          <w:rFonts w:ascii="Times New Roman" w:eastAsia="Times New Roman" w:hAnsi="Times New Roman" w:cs="Times New Roman"/>
          <w:sz w:val="24"/>
          <w:szCs w:val="24"/>
          <w:lang w:eastAsia="et-EE"/>
        </w:rPr>
        <w:t>Kõrvapõletik lastel: 1-5-aastastel lastel vähenes kõrvapõletiku risk laboratoorselt kinnitatud gripi korral (riskivahe -0,14; 95% CI -0,24 kuni -0,04)</w:t>
      </w:r>
    </w:p>
    <w:p w14:paraId="0D39EFD3" w14:textId="77777777" w:rsidR="008A6B91" w:rsidRPr="008A6B91" w:rsidRDefault="008A6B91" w:rsidP="008A6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2E69E453" w14:textId="77777777" w:rsidR="008A6B91" w:rsidRPr="005020A5" w:rsidRDefault="00071764" w:rsidP="008A6B91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07176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Alumiste hingamisteede komplikatsioonid: </w:t>
      </w:r>
    </w:p>
    <w:p w14:paraId="40E54C01" w14:textId="77777777" w:rsidR="008A6B91" w:rsidRDefault="00071764" w:rsidP="008A6B9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proofErr w:type="spellStart"/>
      <w:r w:rsidRPr="00071764">
        <w:rPr>
          <w:rFonts w:ascii="Times New Roman" w:eastAsia="Times New Roman" w:hAnsi="Times New Roman" w:cs="Times New Roman"/>
          <w:sz w:val="24"/>
          <w:szCs w:val="24"/>
          <w:lang w:eastAsia="et-EE"/>
        </w:rPr>
        <w:t>Oseltamiviiri</w:t>
      </w:r>
      <w:proofErr w:type="spellEnd"/>
      <w:r w:rsidRPr="0007176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saanud täiskasvanutel vähenes alumiste hingamisteede komplikatsioonide absoluutne risk 3,8% (RR 0,56; 95% CI 0,42-0,75)</w:t>
      </w:r>
    </w:p>
    <w:p w14:paraId="18C6A440" w14:textId="139F9E79" w:rsidR="005020A5" w:rsidRDefault="00071764" w:rsidP="005020A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07176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Ravi tuleb alustada võimalikult varakult (alla 48 tunni pärast sümptomite ilmnemist), et saavutada parim kliiniline kasu. </w:t>
      </w:r>
    </w:p>
    <w:p w14:paraId="2C26F4A4" w14:textId="6439DE96" w:rsidR="005020A5" w:rsidRPr="005020A5" w:rsidRDefault="005020A5" w:rsidP="005020A5">
      <w:pPr>
        <w:pStyle w:val="Loendilik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020A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Raskelt haiged hospitaliseeritud patsiendid:</w:t>
      </w:r>
    </w:p>
    <w:p w14:paraId="6D8413F6" w14:textId="77777777" w:rsidR="005020A5" w:rsidRDefault="005020A5" w:rsidP="005020A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071764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Suremus:</w:t>
      </w:r>
      <w:r w:rsidRPr="0007176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071764">
        <w:rPr>
          <w:rFonts w:ascii="Times New Roman" w:eastAsia="Times New Roman" w:hAnsi="Times New Roman" w:cs="Times New Roman"/>
          <w:sz w:val="24"/>
          <w:szCs w:val="24"/>
          <w:lang w:eastAsia="et-EE"/>
        </w:rPr>
        <w:t>Oseltamiviiri</w:t>
      </w:r>
      <w:proofErr w:type="spellEnd"/>
      <w:r w:rsidRPr="0007176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kasutamine vähendas suremust hospitaliseeritud patsientidel 19% võrra (OR 0,81; 95% CI 0,70-0,93) kõigis vanuserühmades</w:t>
      </w:r>
    </w:p>
    <w:p w14:paraId="7EFEC324" w14:textId="77777777" w:rsidR="005020A5" w:rsidRPr="00071764" w:rsidRDefault="005020A5" w:rsidP="005020A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0E91492C" w14:textId="77777777" w:rsidR="005020A5" w:rsidRDefault="005020A5" w:rsidP="005020A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071764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Täiskasvanud hospitaliseeritud patsiendid:</w:t>
      </w:r>
      <w:r w:rsidRPr="0007176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Suremuse vähenemine 25% (OR 0,75; 95% CI 0,64-0,87) sõltumata ravi alustamise ajast</w:t>
      </w:r>
    </w:p>
    <w:p w14:paraId="76B0D1A8" w14:textId="77777777" w:rsidR="005020A5" w:rsidRPr="00071764" w:rsidRDefault="005020A5" w:rsidP="005020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78680E77" w14:textId="77777777" w:rsidR="005020A5" w:rsidRDefault="005020A5" w:rsidP="005020A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071764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Lapsed (alla 16-aastased):</w:t>
      </w:r>
      <w:r w:rsidRPr="0007176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Sarnane seos, kuid ei saavutanud statistilist olulisust (OR 0,82; 95% CI 0,58-1,17)</w:t>
      </w:r>
    </w:p>
    <w:p w14:paraId="4AFFF5EC" w14:textId="77777777" w:rsidR="005020A5" w:rsidRPr="00071764" w:rsidRDefault="005020A5" w:rsidP="005020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588A40F7" w14:textId="77777777" w:rsidR="005020A5" w:rsidRDefault="005020A5" w:rsidP="005020A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071764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Intensiivravi patsiendid:</w:t>
      </w:r>
      <w:r w:rsidRPr="0007176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Suremuse vähenemine 28% (OR 0,72; 95% CI 0,56-0,94)</w:t>
      </w:r>
    </w:p>
    <w:p w14:paraId="4AEB2297" w14:textId="77777777" w:rsidR="005020A5" w:rsidRPr="004F61EA" w:rsidRDefault="005020A5" w:rsidP="005020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399AD30C" w14:textId="77777777" w:rsidR="005020A5" w:rsidRDefault="005020A5" w:rsidP="005020A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071764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Rasedad:</w:t>
      </w:r>
      <w:r w:rsidRPr="0007176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Suremuse vähenemine </w:t>
      </w:r>
      <w:r w:rsidRPr="00071764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54%</w:t>
      </w:r>
      <w:r w:rsidRPr="0007176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(OR 0,46; 95% CI 0,23-0,89)</w:t>
      </w:r>
    </w:p>
    <w:p w14:paraId="039F452F" w14:textId="77777777" w:rsidR="005020A5" w:rsidRPr="00071764" w:rsidRDefault="005020A5" w:rsidP="005020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102DDD0A" w14:textId="77777777" w:rsidR="005020A5" w:rsidRDefault="005020A5" w:rsidP="005020A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071764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Ravi alustamise aja mõju:</w:t>
      </w:r>
      <w:r w:rsidRPr="0007176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Iga päevaga hilinemine ravi alustamisel kuni 5. päevani suurendas suremuse riski (HR 1,23; 95% CI 1,18-1,28; p&lt;0,0001)</w:t>
      </w:r>
    </w:p>
    <w:p w14:paraId="4A858E9E" w14:textId="77777777" w:rsidR="005020A5" w:rsidRDefault="005020A5" w:rsidP="005020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00BD0FE8" w14:textId="77777777" w:rsidR="005020A5" w:rsidRPr="00071764" w:rsidRDefault="005020A5" w:rsidP="005020A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071764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Varsti alustatud vs hiljem alustatud ravi:</w:t>
      </w:r>
      <w:r w:rsidRPr="0007176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Ravi alustamine üle 48 tunni pärast sümptomite algust oli seotud suremuse riski vähenemisega ainult intensiivravi täiskasvanud patsientidel (OR 0,65; 95% CI 0,43-0,93)</w:t>
      </w:r>
    </w:p>
    <w:p w14:paraId="6D8F43BF" w14:textId="77777777" w:rsidR="005020A5" w:rsidRPr="005020A5" w:rsidRDefault="005020A5" w:rsidP="005020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19D97F38" w14:textId="77777777" w:rsidR="005020A5" w:rsidRDefault="005020A5" w:rsidP="008A6B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</w:p>
    <w:p w14:paraId="2C52CC18" w14:textId="6A0340CA" w:rsidR="00071764" w:rsidRPr="00071764" w:rsidRDefault="00071764" w:rsidP="008A6B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071764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Profülaktika:</w:t>
      </w:r>
    </w:p>
    <w:p w14:paraId="7F6C7C32" w14:textId="61DDD532" w:rsidR="00071764" w:rsidRPr="00071764" w:rsidRDefault="00071764" w:rsidP="000717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071764">
        <w:rPr>
          <w:rFonts w:ascii="Times New Roman" w:eastAsia="Times New Roman" w:hAnsi="Times New Roman" w:cs="Times New Roman"/>
          <w:sz w:val="24"/>
          <w:szCs w:val="24"/>
          <w:lang w:eastAsia="et-EE"/>
        </w:rPr>
        <w:t>Absoluutne riski vähenemine laboratoorselt kinnitatud gripi tekkeks 3,05% (RR 0,45; 95% CI 0,30-0,67) neljas uuringus</w:t>
      </w:r>
    </w:p>
    <w:p w14:paraId="7FE5954D" w14:textId="4FDE56C7" w:rsidR="00071764" w:rsidRPr="00071764" w:rsidRDefault="00071764" w:rsidP="008A6B9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07176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Absoluutne riski vähenemine sümptomaatilise gripi tekkeks 13,6% (RR 0,20; 95% CI 0,09-0,44) </w:t>
      </w:r>
    </w:p>
    <w:p w14:paraId="53A891D8" w14:textId="77777777" w:rsidR="008A6B91" w:rsidRDefault="00071764" w:rsidP="008A6B9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071764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Eakate riskirühm:</w:t>
      </w:r>
      <w:r w:rsidRPr="0007176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14:paraId="2E82DAAA" w14:textId="1D152819" w:rsidR="00071764" w:rsidRPr="00071764" w:rsidRDefault="005020A5" w:rsidP="008A6B9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O</w:t>
      </w:r>
      <w:r w:rsidR="00071764" w:rsidRPr="00071764">
        <w:rPr>
          <w:rFonts w:ascii="Times New Roman" w:eastAsia="Times New Roman" w:hAnsi="Times New Roman" w:cs="Times New Roman"/>
          <w:sz w:val="24"/>
          <w:szCs w:val="24"/>
          <w:lang w:eastAsia="et-EE"/>
        </w:rPr>
        <w:t>seltamiviir</w:t>
      </w:r>
      <w:proofErr w:type="spellEnd"/>
      <w:r w:rsidR="00071764" w:rsidRPr="0007176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vähendas sümptomaatilise gripiinfektsiooni absoluutset riski 1,2% võrra (efektiivsus 92%; 95% CI 37-99)</w:t>
      </w:r>
    </w:p>
    <w:p w14:paraId="7A0981AB" w14:textId="77777777" w:rsidR="004F61EA" w:rsidRDefault="004F61EA" w:rsidP="005020A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6D0B66CD" w14:textId="08F6AAF7" w:rsidR="00071764" w:rsidRPr="00071764" w:rsidRDefault="00071764" w:rsidP="008A6B9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071764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Profülaktika vs ravi: </w:t>
      </w:r>
      <w:r w:rsidRPr="00071764">
        <w:rPr>
          <w:rFonts w:ascii="Times New Roman" w:eastAsia="Times New Roman" w:hAnsi="Times New Roman" w:cs="Times New Roman"/>
          <w:sz w:val="24"/>
          <w:szCs w:val="24"/>
          <w:lang w:eastAsia="et-EE"/>
        </w:rPr>
        <w:t>Profülaktiline kasutamine näitab statistiliselt oluliselt suuremat efektiivsust võrreldes raviga</w:t>
      </w:r>
    </w:p>
    <w:p w14:paraId="735589CE" w14:textId="77777777" w:rsidR="007802A4" w:rsidRDefault="007802A4"/>
    <w:sectPr w:rsidR="007802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D2304"/>
    <w:multiLevelType w:val="multilevel"/>
    <w:tmpl w:val="26C48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CD7D39"/>
    <w:multiLevelType w:val="multilevel"/>
    <w:tmpl w:val="ACD03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490D58"/>
    <w:multiLevelType w:val="multilevel"/>
    <w:tmpl w:val="5ACC9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984956"/>
    <w:multiLevelType w:val="hybridMultilevel"/>
    <w:tmpl w:val="4830E696"/>
    <w:lvl w:ilvl="0" w:tplc="042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19283BA7"/>
    <w:multiLevelType w:val="multilevel"/>
    <w:tmpl w:val="7D0EE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6F0709"/>
    <w:multiLevelType w:val="hybridMultilevel"/>
    <w:tmpl w:val="1DBE75F0"/>
    <w:lvl w:ilvl="0" w:tplc="042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32A6AEC"/>
    <w:multiLevelType w:val="hybridMultilevel"/>
    <w:tmpl w:val="39D4E96A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C55105E"/>
    <w:multiLevelType w:val="hybridMultilevel"/>
    <w:tmpl w:val="B22CC2D8"/>
    <w:lvl w:ilvl="0" w:tplc="9B4C42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812729"/>
    <w:multiLevelType w:val="multilevel"/>
    <w:tmpl w:val="0FFCB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A4675C"/>
    <w:multiLevelType w:val="multilevel"/>
    <w:tmpl w:val="18B66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804AB9"/>
    <w:multiLevelType w:val="multilevel"/>
    <w:tmpl w:val="B5DAE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246532"/>
    <w:multiLevelType w:val="hybridMultilevel"/>
    <w:tmpl w:val="F0FA58C4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5B036DB"/>
    <w:multiLevelType w:val="multilevel"/>
    <w:tmpl w:val="66A67D2E"/>
    <w:lvl w:ilvl="0">
      <w:start w:val="1"/>
      <w:numFmt w:val="bullet"/>
      <w:lvlText w:val=""/>
      <w:lvlJc w:val="left"/>
      <w:pPr>
        <w:tabs>
          <w:tab w:val="num" w:pos="813"/>
        </w:tabs>
        <w:ind w:left="813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533"/>
        </w:tabs>
        <w:ind w:left="153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53"/>
        </w:tabs>
        <w:ind w:left="225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73"/>
        </w:tabs>
        <w:ind w:left="297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93"/>
        </w:tabs>
        <w:ind w:left="369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13"/>
        </w:tabs>
        <w:ind w:left="441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33"/>
        </w:tabs>
        <w:ind w:left="513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53"/>
        </w:tabs>
        <w:ind w:left="585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73"/>
        </w:tabs>
        <w:ind w:left="6573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2"/>
  </w:num>
  <w:num w:numId="5">
    <w:abstractNumId w:val="10"/>
  </w:num>
  <w:num w:numId="6">
    <w:abstractNumId w:val="0"/>
  </w:num>
  <w:num w:numId="7">
    <w:abstractNumId w:val="11"/>
  </w:num>
  <w:num w:numId="8">
    <w:abstractNumId w:val="5"/>
  </w:num>
  <w:num w:numId="9">
    <w:abstractNumId w:val="6"/>
  </w:num>
  <w:num w:numId="10">
    <w:abstractNumId w:val="12"/>
  </w:num>
  <w:num w:numId="11">
    <w:abstractNumId w:val="9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764"/>
    <w:rsid w:val="00071764"/>
    <w:rsid w:val="00112CFA"/>
    <w:rsid w:val="0023676C"/>
    <w:rsid w:val="002D5255"/>
    <w:rsid w:val="004F61EA"/>
    <w:rsid w:val="005020A5"/>
    <w:rsid w:val="006519DB"/>
    <w:rsid w:val="007802A4"/>
    <w:rsid w:val="008A6B91"/>
    <w:rsid w:val="00C8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F2CE1"/>
  <w15:chartTrackingRefBased/>
  <w15:docId w15:val="{2027176D-FF4B-4AD1-8F02-984729C53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71764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071764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4F61EA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4F61EA"/>
    <w:rPr>
      <w:color w:val="605E5C"/>
      <w:shd w:val="clear" w:color="auto" w:fill="E1DFDD"/>
    </w:rPr>
  </w:style>
  <w:style w:type="paragraph" w:styleId="Normaallaadveeb">
    <w:name w:val="Normal (Web)"/>
    <w:basedOn w:val="Normaallaad"/>
    <w:uiPriority w:val="99"/>
    <w:unhideWhenUsed/>
    <w:rsid w:val="002D5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Tugev">
    <w:name w:val="Strong"/>
    <w:basedOn w:val="Liguvaikefont"/>
    <w:uiPriority w:val="22"/>
    <w:qFormat/>
    <w:rsid w:val="002D52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8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9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88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70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65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37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124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34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09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709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921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8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2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7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3480</Characters>
  <Application>Microsoft Office Word</Application>
  <DocSecurity>4</DocSecurity>
  <Lines>29</Lines>
  <Paragraphs>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TEHIK</Company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Sadikova</dc:creator>
  <cp:keywords/>
  <dc:description/>
  <cp:lastModifiedBy>Olga Sadikova</cp:lastModifiedBy>
  <cp:revision>2</cp:revision>
  <cp:lastPrinted>2025-11-10T13:09:00Z</cp:lastPrinted>
  <dcterms:created xsi:type="dcterms:W3CDTF">2025-11-11T13:04:00Z</dcterms:created>
  <dcterms:modified xsi:type="dcterms:W3CDTF">2025-11-11T13:04:00Z</dcterms:modified>
</cp:coreProperties>
</file>